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0C8C2" w14:textId="22266CF8" w:rsidR="00522B0E" w:rsidRDefault="00383F19" w:rsidP="00522B0E">
      <w:pPr>
        <w:spacing w:after="0" w:line="240" w:lineRule="auto"/>
        <w:jc w:val="center"/>
        <w:rPr>
          <w:b/>
          <w:bCs/>
          <w:u w:val="single"/>
        </w:rPr>
      </w:pPr>
      <w:r w:rsidRPr="00383F19">
        <w:rPr>
          <w:b/>
          <w:bCs/>
          <w:u w:val="single"/>
        </w:rPr>
        <w:t xml:space="preserve">Enforcing Gun Relinquishment </w:t>
      </w:r>
      <w:r w:rsidR="00522B0E">
        <w:rPr>
          <w:b/>
          <w:bCs/>
          <w:u w:val="single"/>
        </w:rPr>
        <w:t>i</w:t>
      </w:r>
      <w:r w:rsidRPr="00383F19">
        <w:rPr>
          <w:b/>
          <w:bCs/>
          <w:u w:val="single"/>
        </w:rPr>
        <w:t xml:space="preserve">n CPO Cases </w:t>
      </w:r>
      <w:r>
        <w:rPr>
          <w:b/>
          <w:bCs/>
          <w:u w:val="single"/>
        </w:rPr>
        <w:t>in DC</w:t>
      </w:r>
      <w:r w:rsidR="00522B0E">
        <w:rPr>
          <w:b/>
          <w:bCs/>
          <w:u w:val="single"/>
        </w:rPr>
        <w:t>:</w:t>
      </w:r>
      <w:r>
        <w:rPr>
          <w:b/>
          <w:bCs/>
          <w:u w:val="single"/>
        </w:rPr>
        <w:t xml:space="preserve"> </w:t>
      </w:r>
    </w:p>
    <w:p w14:paraId="109DDD64" w14:textId="0BC9DF86" w:rsidR="007C3085" w:rsidRDefault="00383F19" w:rsidP="00522B0E">
      <w:pPr>
        <w:spacing w:after="0" w:line="240" w:lineRule="auto"/>
        <w:jc w:val="center"/>
        <w:rPr>
          <w:b/>
          <w:bCs/>
          <w:u w:val="single"/>
        </w:rPr>
      </w:pPr>
      <w:r>
        <w:rPr>
          <w:b/>
          <w:bCs/>
          <w:u w:val="single"/>
        </w:rPr>
        <w:t xml:space="preserve">A Primer with </w:t>
      </w:r>
      <w:r w:rsidRPr="00383F19">
        <w:rPr>
          <w:b/>
          <w:bCs/>
          <w:u w:val="single"/>
        </w:rPr>
        <w:t>Practice Pointers</w:t>
      </w:r>
    </w:p>
    <w:p w14:paraId="29AF63EC" w14:textId="77777777" w:rsidR="00522B0E" w:rsidRDefault="00522B0E" w:rsidP="00522B0E">
      <w:pPr>
        <w:spacing w:after="0" w:line="240" w:lineRule="auto"/>
        <w:jc w:val="center"/>
        <w:rPr>
          <w:b/>
          <w:bCs/>
          <w:u w:val="single"/>
        </w:rPr>
      </w:pPr>
    </w:p>
    <w:p w14:paraId="1F5EFB54" w14:textId="4B639B63" w:rsidR="00383F19" w:rsidRDefault="00516C93" w:rsidP="001D3405">
      <w:r>
        <w:t>W</w:t>
      </w:r>
      <w:r w:rsidR="00383F19">
        <w:t xml:space="preserve">hat tools are </w:t>
      </w:r>
      <w:r w:rsidR="00FB266C">
        <w:t xml:space="preserve">available </w:t>
      </w:r>
      <w:r w:rsidR="00383F19">
        <w:t>to ensure relinquishment is enforced in Civil Protection Order (CPO) cases?</w:t>
      </w:r>
    </w:p>
    <w:p w14:paraId="4AB3AD3D" w14:textId="0E317946" w:rsidR="00383F19" w:rsidRDefault="00383F19" w:rsidP="007D1E6D">
      <w:pPr>
        <w:pStyle w:val="ListParagraph"/>
        <w:numPr>
          <w:ilvl w:val="0"/>
          <w:numId w:val="3"/>
        </w:numPr>
      </w:pPr>
      <w:r>
        <w:t>The legal requirement to relinquish</w:t>
      </w:r>
      <w:r w:rsidR="006E5522">
        <w:t xml:space="preserve">, </w:t>
      </w:r>
      <w:r w:rsidR="000437B6">
        <w:t>t</w:t>
      </w:r>
      <w:r>
        <w:t xml:space="preserve">he court’s broad authority to craft relief in CPO </w:t>
      </w:r>
      <w:proofErr w:type="gramStart"/>
      <w:r>
        <w:t>cases</w:t>
      </w:r>
      <w:r w:rsidR="006E5522">
        <w:t xml:space="preserve">, </w:t>
      </w:r>
      <w:r w:rsidR="000437B6">
        <w:t>and</w:t>
      </w:r>
      <w:proofErr w:type="gramEnd"/>
      <w:r w:rsidR="000437B6">
        <w:t xml:space="preserve"> moving for c</w:t>
      </w:r>
      <w:r>
        <w:t xml:space="preserve">ivil </w:t>
      </w:r>
      <w:r w:rsidR="000437B6">
        <w:t xml:space="preserve">or </w:t>
      </w:r>
      <w:r>
        <w:t>criminal contempt</w:t>
      </w:r>
      <w:r w:rsidR="000437B6">
        <w:t>.</w:t>
      </w:r>
    </w:p>
    <w:p w14:paraId="25F0B7C5" w14:textId="207AB3F5" w:rsidR="00383F19" w:rsidRDefault="00383F19" w:rsidP="001D3405">
      <w:r>
        <w:t>What is the current law on relinquishment in CPO cases?</w:t>
      </w:r>
    </w:p>
    <w:p w14:paraId="45191C2E" w14:textId="7D12ACEA" w:rsidR="006F0B70" w:rsidRDefault="00383F19" w:rsidP="007D1E6D">
      <w:pPr>
        <w:pStyle w:val="ListParagraph"/>
        <w:numPr>
          <w:ilvl w:val="0"/>
          <w:numId w:val="3"/>
        </w:numPr>
      </w:pPr>
      <w:r>
        <w:t xml:space="preserve">Relinquishment is </w:t>
      </w:r>
      <w:r w:rsidRPr="007D1E6D">
        <w:rPr>
          <w:u w:val="single"/>
        </w:rPr>
        <w:t>mandatory</w:t>
      </w:r>
      <w:r>
        <w:t xml:space="preserve"> at the temporary protection order (TPO) stage</w:t>
      </w:r>
      <w:r w:rsidR="00CA78F6">
        <w:t>.</w:t>
      </w:r>
    </w:p>
    <w:p w14:paraId="7B5BE81E" w14:textId="77777777" w:rsidR="0047171A" w:rsidRDefault="0047171A" w:rsidP="00CA78F6">
      <w:pPr>
        <w:pStyle w:val="ListParagraph"/>
        <w:ind w:left="1440"/>
        <w:rPr>
          <w:sz w:val="20"/>
          <w:szCs w:val="20"/>
        </w:rPr>
      </w:pPr>
    </w:p>
    <w:p w14:paraId="75FE8556" w14:textId="7ED2E303" w:rsidR="00383F19" w:rsidRDefault="00383F19" w:rsidP="007D1E6D">
      <w:pPr>
        <w:pStyle w:val="ListParagraph"/>
        <w:rPr>
          <w:sz w:val="20"/>
          <w:szCs w:val="20"/>
        </w:rPr>
      </w:pPr>
      <w:r w:rsidRPr="00CA78F6">
        <w:rPr>
          <w:sz w:val="20"/>
          <w:szCs w:val="20"/>
        </w:rPr>
        <w:t>A temporary protection order “</w:t>
      </w:r>
      <w:r w:rsidRPr="00CA78F6">
        <w:rPr>
          <w:i/>
          <w:iCs/>
          <w:sz w:val="20"/>
          <w:szCs w:val="20"/>
        </w:rPr>
        <w:t>shall require that the respondent relinquish possession of any firearms or ammunition and prohibit the respondent from having possession or control of, purchasing, or receiving any firearm or ammunition while the protection order is in effect</w:t>
      </w:r>
      <w:r w:rsidRPr="00CA78F6">
        <w:rPr>
          <w:sz w:val="20"/>
          <w:szCs w:val="20"/>
        </w:rPr>
        <w:t>.”</w:t>
      </w:r>
      <w:r w:rsidR="006F0B70" w:rsidRPr="00CA78F6">
        <w:rPr>
          <w:sz w:val="20"/>
          <w:szCs w:val="20"/>
        </w:rPr>
        <w:t xml:space="preserve"> </w:t>
      </w:r>
      <w:r w:rsidR="006F0B70" w:rsidRPr="00CA78F6">
        <w:rPr>
          <w:sz w:val="20"/>
          <w:szCs w:val="20"/>
        </w:rPr>
        <w:t>DC Code § 16-1004(h)(2).</w:t>
      </w:r>
    </w:p>
    <w:p w14:paraId="25E55614" w14:textId="77777777" w:rsidR="007D1E6D" w:rsidRDefault="007D1E6D" w:rsidP="00CA78F6">
      <w:pPr>
        <w:pStyle w:val="ListParagraph"/>
        <w:ind w:left="1440"/>
        <w:rPr>
          <w:sz w:val="20"/>
          <w:szCs w:val="20"/>
        </w:rPr>
      </w:pPr>
    </w:p>
    <w:p w14:paraId="7017B287" w14:textId="51D80D69" w:rsidR="00CA78F6" w:rsidRDefault="00383F19" w:rsidP="007D1E6D">
      <w:pPr>
        <w:pStyle w:val="ListParagraph"/>
        <w:numPr>
          <w:ilvl w:val="0"/>
          <w:numId w:val="3"/>
        </w:numPr>
      </w:pPr>
      <w:r>
        <w:t xml:space="preserve">Relinquishment is </w:t>
      </w:r>
      <w:r w:rsidRPr="007D1E6D">
        <w:rPr>
          <w:u w:val="single"/>
        </w:rPr>
        <w:t>discretionary</w:t>
      </w:r>
      <w:r>
        <w:t xml:space="preserve"> for the final CPO. </w:t>
      </w:r>
    </w:p>
    <w:p w14:paraId="53F9A1BF" w14:textId="77777777" w:rsidR="0047171A" w:rsidRDefault="0047171A" w:rsidP="00C351E0">
      <w:pPr>
        <w:pStyle w:val="ListParagraph"/>
        <w:ind w:left="1440"/>
        <w:rPr>
          <w:i/>
          <w:iCs/>
          <w:sz w:val="20"/>
          <w:szCs w:val="20"/>
        </w:rPr>
      </w:pPr>
    </w:p>
    <w:p w14:paraId="7EB241BE" w14:textId="0FE4B4D2" w:rsidR="00C351E0" w:rsidRDefault="00383F19" w:rsidP="007D1E6D">
      <w:pPr>
        <w:pStyle w:val="ListParagraph"/>
        <w:rPr>
          <w:sz w:val="20"/>
          <w:szCs w:val="20"/>
        </w:rPr>
      </w:pPr>
      <w:r w:rsidRPr="00CA78F6">
        <w:rPr>
          <w:i/>
          <w:iCs/>
          <w:sz w:val="20"/>
          <w:szCs w:val="20"/>
        </w:rPr>
        <w:t>“[I]f, after</w:t>
      </w:r>
      <w:r w:rsidRPr="00CA78F6">
        <w:rPr>
          <w:i/>
          <w:iCs/>
          <w:sz w:val="20"/>
          <w:szCs w:val="20"/>
        </w:rPr>
        <w:t xml:space="preserve"> a hearing, a judicial officer finds that there is good cause to believe the respondent has committed or threatened to commit a criminal offense against the petitioner,” the judicial officer </w:t>
      </w:r>
      <w:r w:rsidRPr="00CA78F6">
        <w:rPr>
          <w:i/>
          <w:iCs/>
          <w:sz w:val="20"/>
          <w:szCs w:val="20"/>
          <w:u w:val="single"/>
        </w:rPr>
        <w:t>may</w:t>
      </w:r>
      <w:r w:rsidRPr="00CA78F6">
        <w:rPr>
          <w:i/>
          <w:iCs/>
          <w:sz w:val="20"/>
          <w:szCs w:val="20"/>
        </w:rPr>
        <w:t xml:space="preserve"> enter a CPO that, among other things, “directs the respondent to relinquish possession of any firearms or ammunition and prohibits the respondent from having possession or control of, purchasing, or receiving any firearm or ammunition while the protection order is in effect.”</w:t>
      </w:r>
      <w:r w:rsidR="00CA78F6" w:rsidRPr="00CA78F6">
        <w:rPr>
          <w:sz w:val="20"/>
          <w:szCs w:val="20"/>
        </w:rPr>
        <w:t xml:space="preserve"> </w:t>
      </w:r>
      <w:r w:rsidR="00CA78F6" w:rsidRPr="00CA78F6">
        <w:rPr>
          <w:sz w:val="20"/>
          <w:szCs w:val="20"/>
        </w:rPr>
        <w:t>DC Code § 16-1004(c)(10).</w:t>
      </w:r>
    </w:p>
    <w:p w14:paraId="2A3755C9" w14:textId="6E864226" w:rsidR="0039342E" w:rsidRPr="0039342E" w:rsidRDefault="00383F19" w:rsidP="0039342E">
      <w:r>
        <w:t xml:space="preserve">The court has </w:t>
      </w:r>
      <w:r w:rsidRPr="0039342E">
        <w:rPr>
          <w:u w:val="single"/>
        </w:rPr>
        <w:t>broad discretion</w:t>
      </w:r>
      <w:r>
        <w:t xml:space="preserve"> to craft relief, including by providing specific instructions on where, when and how to relinquish and how to prove compliance to the court.</w:t>
      </w:r>
      <w:r w:rsidR="0039342E">
        <w:t xml:space="preserve"> </w:t>
      </w:r>
      <w:r w:rsidR="0039342E" w:rsidRPr="0039342E">
        <w:rPr>
          <w:i/>
          <w:iCs/>
        </w:rPr>
        <w:t xml:space="preserve">See </w:t>
      </w:r>
      <w:r w:rsidR="0039342E" w:rsidRPr="0039342E">
        <w:rPr>
          <w:i/>
          <w:iCs/>
        </w:rPr>
        <w:t xml:space="preserve">Carome v. Carome, </w:t>
      </w:r>
      <w:r w:rsidR="0039342E" w:rsidRPr="0039342E">
        <w:t>262 A.3d 242, 248 (D.C. 2021)</w:t>
      </w:r>
      <w:r w:rsidR="0039342E">
        <w:t>:</w:t>
      </w:r>
      <w:r w:rsidR="0039342E" w:rsidRPr="0039342E">
        <w:t xml:space="preserve"> </w:t>
      </w:r>
    </w:p>
    <w:p w14:paraId="7A914132" w14:textId="6C38F8D6" w:rsidR="001D3405" w:rsidRDefault="00383F19" w:rsidP="007D1E6D">
      <w:pPr>
        <w:pStyle w:val="ListParagraph"/>
        <w:rPr>
          <w:sz w:val="20"/>
          <w:szCs w:val="20"/>
        </w:rPr>
      </w:pPr>
      <w:r w:rsidRPr="00383F19">
        <w:rPr>
          <w:sz w:val="20"/>
          <w:szCs w:val="20"/>
        </w:rPr>
        <w:t>It is well established that trial courts may, upon a finding of good cause, include in a CPO a provision that</w:t>
      </w:r>
      <w:r w:rsidR="0039342E">
        <w:rPr>
          <w:sz w:val="20"/>
          <w:szCs w:val="20"/>
        </w:rPr>
        <w:t xml:space="preserve"> “</w:t>
      </w:r>
      <w:r w:rsidRPr="00383F19">
        <w:rPr>
          <w:sz w:val="20"/>
          <w:szCs w:val="20"/>
        </w:rPr>
        <w:t>[d]</w:t>
      </w:r>
      <w:proofErr w:type="spellStart"/>
      <w:r w:rsidRPr="00383F19">
        <w:rPr>
          <w:sz w:val="20"/>
          <w:szCs w:val="20"/>
        </w:rPr>
        <w:t>irects</w:t>
      </w:r>
      <w:proofErr w:type="spellEnd"/>
      <w:r w:rsidRPr="00383F19">
        <w:rPr>
          <w:sz w:val="20"/>
          <w:szCs w:val="20"/>
        </w:rPr>
        <w:t xml:space="preserve"> the respondent to perform or refrain from other actions as may be appropriate to the effective resolution of the matter.</w:t>
      </w:r>
      <w:r w:rsidR="0039342E">
        <w:rPr>
          <w:sz w:val="20"/>
          <w:szCs w:val="20"/>
        </w:rPr>
        <w:t>”</w:t>
      </w:r>
      <w:r w:rsidRPr="00383F19">
        <w:rPr>
          <w:sz w:val="20"/>
          <w:szCs w:val="20"/>
        </w:rPr>
        <w:t xml:space="preserve"> D.C. Code 16-1005(c)(11). Trial courts have broad discretion and are permitted to include in their CPOs a </w:t>
      </w:r>
      <w:r w:rsidR="0039342E">
        <w:rPr>
          <w:sz w:val="20"/>
          <w:szCs w:val="20"/>
        </w:rPr>
        <w:t>“</w:t>
      </w:r>
      <w:r w:rsidRPr="00383F19">
        <w:rPr>
          <w:sz w:val="20"/>
          <w:szCs w:val="20"/>
        </w:rPr>
        <w:t xml:space="preserve">range of remedial provisions . . . as appropriate.” </w:t>
      </w:r>
    </w:p>
    <w:p w14:paraId="6576A913" w14:textId="516EA479" w:rsidR="00383F19" w:rsidRPr="001D3405" w:rsidRDefault="00383F19" w:rsidP="001D3405">
      <w:pPr>
        <w:rPr>
          <w:sz w:val="20"/>
          <w:szCs w:val="20"/>
        </w:rPr>
      </w:pPr>
      <w:r>
        <w:t xml:space="preserve">How do I </w:t>
      </w:r>
      <w:r w:rsidR="00CC096F">
        <w:t>ensure that relinquishment is enforced</w:t>
      </w:r>
      <w:r w:rsidR="00CA0EA7">
        <w:t xml:space="preserve"> </w:t>
      </w:r>
      <w:r>
        <w:t xml:space="preserve">in my client’s case? </w:t>
      </w:r>
    </w:p>
    <w:p w14:paraId="01756AAB" w14:textId="36F695ED" w:rsidR="00383F19" w:rsidRPr="00383F19" w:rsidRDefault="007B5288" w:rsidP="007D1E6D">
      <w:pPr>
        <w:pStyle w:val="ListParagraph"/>
        <w:numPr>
          <w:ilvl w:val="0"/>
          <w:numId w:val="3"/>
        </w:numPr>
      </w:pPr>
      <w:r>
        <w:t>Sample language to include on the petition:</w:t>
      </w:r>
    </w:p>
    <w:p w14:paraId="20DA1B54" w14:textId="16817A7F" w:rsidR="00362352" w:rsidRDefault="00383F19" w:rsidP="00362352">
      <w:pPr>
        <w:ind w:left="720"/>
        <w:rPr>
          <w:sz w:val="20"/>
          <w:szCs w:val="20"/>
        </w:rPr>
      </w:pPr>
      <w:r w:rsidRPr="007D1E6D">
        <w:rPr>
          <w:sz w:val="20"/>
          <w:szCs w:val="20"/>
        </w:rPr>
        <w:t xml:space="preserve">Check the box towards the bottom page 3, “Other </w:t>
      </w:r>
      <w:r w:rsidRPr="007D1E6D">
        <w:rPr>
          <w:i/>
          <w:iCs/>
          <w:sz w:val="20"/>
          <w:szCs w:val="20"/>
        </w:rPr>
        <w:t>(describe</w:t>
      </w:r>
      <w:r w:rsidRPr="007D1E6D">
        <w:rPr>
          <w:sz w:val="20"/>
          <w:szCs w:val="20"/>
        </w:rPr>
        <w:t>)”,</w:t>
      </w:r>
      <w:r w:rsidRPr="007D1E6D">
        <w:rPr>
          <w:i/>
          <w:iCs/>
          <w:sz w:val="20"/>
          <w:szCs w:val="20"/>
        </w:rPr>
        <w:t xml:space="preserve"> </w:t>
      </w:r>
      <w:r w:rsidRPr="007D1E6D">
        <w:rPr>
          <w:sz w:val="20"/>
          <w:szCs w:val="20"/>
        </w:rPr>
        <w:t>and write “</w:t>
      </w:r>
      <w:r w:rsidRPr="007D1E6D">
        <w:rPr>
          <w:sz w:val="20"/>
          <w:szCs w:val="20"/>
          <w:u w:val="single"/>
        </w:rPr>
        <w:t>Order Respondent to, within 48 hours of the entry of this Order, file proof with this Court of relinquishment to local law enforcement of all registered and unregistered firearms in Respondent’s possession or control.</w:t>
      </w:r>
      <w:r w:rsidRPr="007D1E6D">
        <w:rPr>
          <w:sz w:val="20"/>
          <w:szCs w:val="20"/>
        </w:rPr>
        <w:t>”</w:t>
      </w:r>
    </w:p>
    <w:p w14:paraId="51C2F847" w14:textId="77777777" w:rsidR="001734D3" w:rsidRDefault="001734D3" w:rsidP="00362352">
      <w:pPr>
        <w:ind w:left="720"/>
        <w:rPr>
          <w:sz w:val="20"/>
          <w:szCs w:val="20"/>
        </w:rPr>
      </w:pPr>
    </w:p>
    <w:p w14:paraId="1A6B1966" w14:textId="77777777" w:rsidR="001734D3" w:rsidRDefault="001734D3" w:rsidP="00362352">
      <w:pPr>
        <w:ind w:left="720"/>
        <w:rPr>
          <w:sz w:val="20"/>
          <w:szCs w:val="20"/>
        </w:rPr>
      </w:pPr>
    </w:p>
    <w:p w14:paraId="119007F8" w14:textId="77777777" w:rsidR="001734D3" w:rsidRDefault="001734D3" w:rsidP="00362352">
      <w:pPr>
        <w:ind w:left="720"/>
        <w:rPr>
          <w:sz w:val="20"/>
          <w:szCs w:val="20"/>
        </w:rPr>
      </w:pPr>
    </w:p>
    <w:p w14:paraId="3E6AB6E3" w14:textId="77777777" w:rsidR="001734D3" w:rsidRDefault="001734D3" w:rsidP="00362352">
      <w:pPr>
        <w:ind w:left="720"/>
        <w:rPr>
          <w:sz w:val="20"/>
          <w:szCs w:val="20"/>
        </w:rPr>
      </w:pPr>
    </w:p>
    <w:p w14:paraId="05901E9F" w14:textId="77777777" w:rsidR="001734D3" w:rsidRDefault="001734D3" w:rsidP="00362352">
      <w:pPr>
        <w:ind w:left="720"/>
        <w:rPr>
          <w:sz w:val="20"/>
          <w:szCs w:val="20"/>
        </w:rPr>
      </w:pPr>
    </w:p>
    <w:p w14:paraId="0AE06142" w14:textId="77777777" w:rsidR="001734D3" w:rsidRPr="00362352" w:rsidRDefault="001734D3" w:rsidP="00362352">
      <w:pPr>
        <w:ind w:left="720"/>
        <w:rPr>
          <w:sz w:val="20"/>
          <w:szCs w:val="20"/>
        </w:rPr>
      </w:pPr>
    </w:p>
    <w:p w14:paraId="19BB7E25" w14:textId="77777777" w:rsidR="00362352" w:rsidRDefault="007B5288" w:rsidP="00362352">
      <w:pPr>
        <w:pStyle w:val="ListParagraph"/>
        <w:numPr>
          <w:ilvl w:val="1"/>
          <w:numId w:val="1"/>
        </w:numPr>
        <w:ind w:left="720"/>
      </w:pPr>
      <w:r>
        <w:t>Sample language for the proposed order:</w:t>
      </w:r>
    </w:p>
    <w:p w14:paraId="7544A4E7" w14:textId="77777777" w:rsidR="00362352" w:rsidRDefault="00362352" w:rsidP="00362352">
      <w:pPr>
        <w:pStyle w:val="ListParagraph"/>
      </w:pPr>
    </w:p>
    <w:p w14:paraId="72B40AA1" w14:textId="03B6DFFC" w:rsidR="00383F19" w:rsidRPr="00362352" w:rsidRDefault="00383F19" w:rsidP="00362352">
      <w:pPr>
        <w:pStyle w:val="ListParagraph"/>
      </w:pPr>
      <w:r w:rsidRPr="00362352">
        <w:rPr>
          <w:sz w:val="20"/>
          <w:szCs w:val="20"/>
        </w:rPr>
        <w:t>Check the box towards the bottom of page 2, “Other,” and write “</w:t>
      </w:r>
      <w:r w:rsidRPr="00362352">
        <w:rPr>
          <w:sz w:val="20"/>
          <w:szCs w:val="20"/>
          <w:u w:val="single"/>
        </w:rPr>
        <w:t>Within 48 hours of the entry of this Order, Respondent shall file proof with this Court of relinquishment to local law enforcement of all registered and unregistered firearms in Respondent’s possession or control</w:t>
      </w:r>
      <w:r w:rsidRPr="00362352">
        <w:rPr>
          <w:sz w:val="20"/>
          <w:szCs w:val="20"/>
        </w:rPr>
        <w:t>.”</w:t>
      </w:r>
    </w:p>
    <w:p w14:paraId="7B66D39F" w14:textId="5518D552" w:rsidR="00383F19" w:rsidRDefault="00CA0EA7" w:rsidP="00522B0E">
      <w:r>
        <w:t>Wha</w:t>
      </w:r>
      <w:r w:rsidR="00CD67D2">
        <w:t>t</w:t>
      </w:r>
      <w:r>
        <w:t xml:space="preserve"> if the Respondent fails to comply with the relinquishment order?</w:t>
      </w:r>
    </w:p>
    <w:p w14:paraId="60B61190" w14:textId="77777777" w:rsidR="00B024F4" w:rsidRDefault="00CD67D2" w:rsidP="00B024F4">
      <w:pPr>
        <w:pStyle w:val="ListParagraph"/>
        <w:numPr>
          <w:ilvl w:val="0"/>
          <w:numId w:val="4"/>
        </w:numPr>
      </w:pPr>
      <w:r>
        <w:t xml:space="preserve">Seek </w:t>
      </w:r>
      <w:r w:rsidRPr="00B024F4">
        <w:rPr>
          <w:u w:val="single"/>
        </w:rPr>
        <w:t>c</w:t>
      </w:r>
      <w:r w:rsidR="00CA0EA7" w:rsidRPr="00B024F4">
        <w:rPr>
          <w:u w:val="single"/>
        </w:rPr>
        <w:t>ivil contempt</w:t>
      </w:r>
      <w:r w:rsidR="007B5288">
        <w:t xml:space="preserve"> </w:t>
      </w:r>
      <w:r w:rsidR="00CA0EA7" w:rsidRPr="00CA0EA7">
        <w:t xml:space="preserve">pursuant to D.C. Code § 11-944 and D.C. Superior Court Domestic Violence Rule </w:t>
      </w:r>
      <w:proofErr w:type="gramStart"/>
      <w:r w:rsidR="00CA0EA7" w:rsidRPr="00CA0EA7">
        <w:t>12</w:t>
      </w:r>
      <w:r w:rsidR="007B5288">
        <w:t>, and</w:t>
      </w:r>
      <w:proofErr w:type="gramEnd"/>
      <w:r w:rsidR="007B5288">
        <w:t xml:space="preserve"> r</w:t>
      </w:r>
      <w:r w:rsidR="00CA0EA7" w:rsidRPr="00CA0EA7">
        <w:t>equest a conditional daily fine or other remedies as the Court deems appropriate until Respondent relinquishes his firearms and files proof of relinquishment or legal sale with the Court.</w:t>
      </w:r>
    </w:p>
    <w:p w14:paraId="1DB63E55" w14:textId="77777777" w:rsidR="00B024F4" w:rsidRDefault="00B024F4" w:rsidP="00B024F4">
      <w:pPr>
        <w:pStyle w:val="ListParagraph"/>
      </w:pPr>
    </w:p>
    <w:p w14:paraId="72E8ACC4" w14:textId="43CCAA83" w:rsidR="0079478F" w:rsidRDefault="00CD67D2" w:rsidP="00B024F4">
      <w:pPr>
        <w:pStyle w:val="ListParagraph"/>
        <w:numPr>
          <w:ilvl w:val="0"/>
          <w:numId w:val="4"/>
        </w:numPr>
      </w:pPr>
      <w:r>
        <w:t xml:space="preserve">Seek </w:t>
      </w:r>
      <w:r w:rsidRPr="00B024F4">
        <w:rPr>
          <w:u w:val="single"/>
        </w:rPr>
        <w:t>c</w:t>
      </w:r>
      <w:r w:rsidR="00CA0EA7" w:rsidRPr="00B024F4">
        <w:rPr>
          <w:u w:val="single"/>
        </w:rPr>
        <w:t>riminal contempt</w:t>
      </w:r>
      <w:r w:rsidR="0079478F">
        <w:t xml:space="preserve"> pursuant to </w:t>
      </w:r>
      <w:r w:rsidR="0079478F" w:rsidRPr="00CA0EA7">
        <w:t xml:space="preserve">D.C. Code § </w:t>
      </w:r>
      <w:r w:rsidR="0079478F">
        <w:t>16-1005.</w:t>
      </w:r>
      <w:r w:rsidR="00146A8C">
        <w:t xml:space="preserve"> Note that for the </w:t>
      </w:r>
      <w:r w:rsidR="00CA0EA7" w:rsidRPr="00CA0EA7">
        <w:t xml:space="preserve">Office of the Attorney General (OAG) to prosecute, there needs to be a strong showing that the respondent </w:t>
      </w:r>
      <w:proofErr w:type="gramStart"/>
      <w:r w:rsidR="00CA0EA7" w:rsidRPr="00CA0EA7">
        <w:t>actually has</w:t>
      </w:r>
      <w:proofErr w:type="gramEnd"/>
      <w:r w:rsidR="00CA0EA7" w:rsidRPr="00CA0EA7">
        <w:t xml:space="preserve"> a gun, after the order is issued. In person service – actual notice – is</w:t>
      </w:r>
      <w:r w:rsidR="00D721CD">
        <w:t xml:space="preserve"> also</w:t>
      </w:r>
      <w:r w:rsidR="00CA0EA7" w:rsidRPr="00CA0EA7">
        <w:t xml:space="preserve"> required.  </w:t>
      </w:r>
    </w:p>
    <w:p w14:paraId="7BB351EE" w14:textId="77777777" w:rsidR="007D1E6D" w:rsidRDefault="00C351E0" w:rsidP="007D1E6D">
      <w:r>
        <w:t>PRACTICE POINTERS</w:t>
      </w:r>
    </w:p>
    <w:p w14:paraId="38B4C0B0" w14:textId="77777777" w:rsidR="00AE0C72" w:rsidRDefault="00CA0EA7" w:rsidP="00AE0C72">
      <w:pPr>
        <w:pStyle w:val="ListParagraph"/>
        <w:numPr>
          <w:ilvl w:val="0"/>
          <w:numId w:val="4"/>
        </w:numPr>
      </w:pPr>
      <w:r w:rsidRPr="00CA0EA7">
        <w:t>Ask your client about the respondent’s history with guns and counsel your client about their options at the TPO and CPO stages</w:t>
      </w:r>
    </w:p>
    <w:p w14:paraId="02464391" w14:textId="77777777" w:rsidR="00AE0C72" w:rsidRDefault="00AE0C72" w:rsidP="00AE0C72">
      <w:pPr>
        <w:pStyle w:val="ListParagraph"/>
      </w:pPr>
    </w:p>
    <w:p w14:paraId="62BA1E3E" w14:textId="3F1B30C5" w:rsidR="00AE0C72" w:rsidRDefault="00CA0EA7" w:rsidP="00AE0C72">
      <w:pPr>
        <w:pStyle w:val="ListParagraph"/>
        <w:numPr>
          <w:ilvl w:val="0"/>
          <w:numId w:val="4"/>
        </w:numPr>
      </w:pPr>
      <w:r w:rsidRPr="00CA0EA7">
        <w:t xml:space="preserve">Flag concerns about </w:t>
      </w:r>
      <w:r w:rsidR="00AE0C72">
        <w:t xml:space="preserve">the Respondent’s gun ownership and </w:t>
      </w:r>
      <w:proofErr w:type="gramStart"/>
      <w:r w:rsidR="00AE0C72">
        <w:t>past history</w:t>
      </w:r>
      <w:proofErr w:type="gramEnd"/>
      <w:r w:rsidR="00AE0C72">
        <w:t xml:space="preserve"> with guns </w:t>
      </w:r>
      <w:r w:rsidRPr="00CA0EA7">
        <w:t>in the petition</w:t>
      </w:r>
    </w:p>
    <w:p w14:paraId="19271FA5" w14:textId="77777777" w:rsidR="00AE0C72" w:rsidRDefault="00AE0C72" w:rsidP="00AE0C72">
      <w:pPr>
        <w:pStyle w:val="ListParagraph"/>
      </w:pPr>
    </w:p>
    <w:p w14:paraId="71478346" w14:textId="584E21D5" w:rsidR="00AE0C72" w:rsidRDefault="0006333B" w:rsidP="00AE0C72">
      <w:pPr>
        <w:pStyle w:val="ListParagraph"/>
        <w:numPr>
          <w:ilvl w:val="0"/>
          <w:numId w:val="4"/>
        </w:numPr>
      </w:pPr>
      <w:r>
        <w:t xml:space="preserve">Absent specific guidance from the court or your judge, </w:t>
      </w:r>
      <w:r w:rsidR="00063E91">
        <w:t xml:space="preserve">you should think broadly and creatively about what relief – and what type of proof of relinquishment – makes the most sense </w:t>
      </w:r>
      <w:r w:rsidR="001610A5">
        <w:t>based on the specific</w:t>
      </w:r>
      <w:r w:rsidR="00063E91">
        <w:t xml:space="preserve"> facts of your case.</w:t>
      </w:r>
    </w:p>
    <w:p w14:paraId="43F23D01" w14:textId="77777777" w:rsidR="00AE0C72" w:rsidRDefault="00AE0C72" w:rsidP="00AE0C72">
      <w:pPr>
        <w:pStyle w:val="ListParagraph"/>
      </w:pPr>
    </w:p>
    <w:p w14:paraId="7C91B204" w14:textId="4874CD3B" w:rsidR="00CA0EA7" w:rsidRPr="00383F19" w:rsidRDefault="00CA0EA7" w:rsidP="00AE0C72">
      <w:pPr>
        <w:pStyle w:val="ListParagraph"/>
        <w:numPr>
          <w:ilvl w:val="0"/>
          <w:numId w:val="4"/>
        </w:numPr>
      </w:pPr>
      <w:r w:rsidRPr="00CA0EA7">
        <w:t>Contact Volunteer Legal Advocates if you believe your client could benefit</w:t>
      </w:r>
      <w:r w:rsidR="0079478F">
        <w:t xml:space="preserve"> </w:t>
      </w:r>
      <w:r w:rsidRPr="00CA0EA7">
        <w:t>from an Extreme Risk Protection Order consult</w:t>
      </w:r>
    </w:p>
    <w:p w14:paraId="5E733E2F" w14:textId="77777777" w:rsidR="00383F19" w:rsidRPr="00383F19" w:rsidRDefault="00383F19" w:rsidP="00383F19">
      <w:pPr>
        <w:pStyle w:val="ListParagraph"/>
        <w:ind w:left="1440"/>
      </w:pPr>
    </w:p>
    <w:sectPr w:rsidR="00383F19" w:rsidRPr="00383F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25520"/>
    <w:multiLevelType w:val="hybridMultilevel"/>
    <w:tmpl w:val="9606F5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75786E"/>
    <w:multiLevelType w:val="hybridMultilevel"/>
    <w:tmpl w:val="E3689D66"/>
    <w:lvl w:ilvl="0" w:tplc="CDE0ACDE">
      <w:start w:val="1"/>
      <w:numFmt w:val="bullet"/>
      <w:lvlText w:val="-"/>
      <w:lvlJc w:val="left"/>
      <w:pPr>
        <w:tabs>
          <w:tab w:val="num" w:pos="720"/>
        </w:tabs>
        <w:ind w:left="720" w:hanging="360"/>
      </w:pPr>
      <w:rPr>
        <w:rFonts w:ascii="Times New Roman" w:hAnsi="Times New Roman" w:hint="default"/>
      </w:rPr>
    </w:lvl>
    <w:lvl w:ilvl="1" w:tplc="74BCE20C" w:tentative="1">
      <w:start w:val="1"/>
      <w:numFmt w:val="bullet"/>
      <w:lvlText w:val="-"/>
      <w:lvlJc w:val="left"/>
      <w:pPr>
        <w:tabs>
          <w:tab w:val="num" w:pos="1440"/>
        </w:tabs>
        <w:ind w:left="1440" w:hanging="360"/>
      </w:pPr>
      <w:rPr>
        <w:rFonts w:ascii="Times New Roman" w:hAnsi="Times New Roman" w:hint="default"/>
      </w:rPr>
    </w:lvl>
    <w:lvl w:ilvl="2" w:tplc="74BCB480" w:tentative="1">
      <w:start w:val="1"/>
      <w:numFmt w:val="bullet"/>
      <w:lvlText w:val="-"/>
      <w:lvlJc w:val="left"/>
      <w:pPr>
        <w:tabs>
          <w:tab w:val="num" w:pos="2160"/>
        </w:tabs>
        <w:ind w:left="2160" w:hanging="360"/>
      </w:pPr>
      <w:rPr>
        <w:rFonts w:ascii="Times New Roman" w:hAnsi="Times New Roman" w:hint="default"/>
      </w:rPr>
    </w:lvl>
    <w:lvl w:ilvl="3" w:tplc="2CB69F88" w:tentative="1">
      <w:start w:val="1"/>
      <w:numFmt w:val="bullet"/>
      <w:lvlText w:val="-"/>
      <w:lvlJc w:val="left"/>
      <w:pPr>
        <w:tabs>
          <w:tab w:val="num" w:pos="2880"/>
        </w:tabs>
        <w:ind w:left="2880" w:hanging="360"/>
      </w:pPr>
      <w:rPr>
        <w:rFonts w:ascii="Times New Roman" w:hAnsi="Times New Roman" w:hint="default"/>
      </w:rPr>
    </w:lvl>
    <w:lvl w:ilvl="4" w:tplc="902A2D36" w:tentative="1">
      <w:start w:val="1"/>
      <w:numFmt w:val="bullet"/>
      <w:lvlText w:val="-"/>
      <w:lvlJc w:val="left"/>
      <w:pPr>
        <w:tabs>
          <w:tab w:val="num" w:pos="3600"/>
        </w:tabs>
        <w:ind w:left="3600" w:hanging="360"/>
      </w:pPr>
      <w:rPr>
        <w:rFonts w:ascii="Times New Roman" w:hAnsi="Times New Roman" w:hint="default"/>
      </w:rPr>
    </w:lvl>
    <w:lvl w:ilvl="5" w:tplc="F62C7C86" w:tentative="1">
      <w:start w:val="1"/>
      <w:numFmt w:val="bullet"/>
      <w:lvlText w:val="-"/>
      <w:lvlJc w:val="left"/>
      <w:pPr>
        <w:tabs>
          <w:tab w:val="num" w:pos="4320"/>
        </w:tabs>
        <w:ind w:left="4320" w:hanging="360"/>
      </w:pPr>
      <w:rPr>
        <w:rFonts w:ascii="Times New Roman" w:hAnsi="Times New Roman" w:hint="default"/>
      </w:rPr>
    </w:lvl>
    <w:lvl w:ilvl="6" w:tplc="949C9DDA" w:tentative="1">
      <w:start w:val="1"/>
      <w:numFmt w:val="bullet"/>
      <w:lvlText w:val="-"/>
      <w:lvlJc w:val="left"/>
      <w:pPr>
        <w:tabs>
          <w:tab w:val="num" w:pos="5040"/>
        </w:tabs>
        <w:ind w:left="5040" w:hanging="360"/>
      </w:pPr>
      <w:rPr>
        <w:rFonts w:ascii="Times New Roman" w:hAnsi="Times New Roman" w:hint="default"/>
      </w:rPr>
    </w:lvl>
    <w:lvl w:ilvl="7" w:tplc="6344B3C8" w:tentative="1">
      <w:start w:val="1"/>
      <w:numFmt w:val="bullet"/>
      <w:lvlText w:val="-"/>
      <w:lvlJc w:val="left"/>
      <w:pPr>
        <w:tabs>
          <w:tab w:val="num" w:pos="5760"/>
        </w:tabs>
        <w:ind w:left="5760" w:hanging="360"/>
      </w:pPr>
      <w:rPr>
        <w:rFonts w:ascii="Times New Roman" w:hAnsi="Times New Roman" w:hint="default"/>
      </w:rPr>
    </w:lvl>
    <w:lvl w:ilvl="8" w:tplc="8B76D59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2CC6E73"/>
    <w:multiLevelType w:val="hybridMultilevel"/>
    <w:tmpl w:val="717622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872BF1"/>
    <w:multiLevelType w:val="hybridMultilevel"/>
    <w:tmpl w:val="011E40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9866009">
    <w:abstractNumId w:val="0"/>
  </w:num>
  <w:num w:numId="2" w16cid:durableId="824053218">
    <w:abstractNumId w:val="1"/>
  </w:num>
  <w:num w:numId="3" w16cid:durableId="497620900">
    <w:abstractNumId w:val="2"/>
  </w:num>
  <w:num w:numId="4" w16cid:durableId="4094280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F19"/>
    <w:rsid w:val="000437B6"/>
    <w:rsid w:val="0006333B"/>
    <w:rsid w:val="00063E91"/>
    <w:rsid w:val="00146A8C"/>
    <w:rsid w:val="001610A5"/>
    <w:rsid w:val="001734D3"/>
    <w:rsid w:val="001A1A15"/>
    <w:rsid w:val="001A7731"/>
    <w:rsid w:val="001D3405"/>
    <w:rsid w:val="003566C6"/>
    <w:rsid w:val="00362352"/>
    <w:rsid w:val="00383F19"/>
    <w:rsid w:val="0039342E"/>
    <w:rsid w:val="00444AFD"/>
    <w:rsid w:val="0047171A"/>
    <w:rsid w:val="00516C93"/>
    <w:rsid w:val="00522B0E"/>
    <w:rsid w:val="006E5522"/>
    <w:rsid w:val="006F0B70"/>
    <w:rsid w:val="0079478F"/>
    <w:rsid w:val="007B5288"/>
    <w:rsid w:val="007C3085"/>
    <w:rsid w:val="007D1E6D"/>
    <w:rsid w:val="00970C43"/>
    <w:rsid w:val="00AE0C72"/>
    <w:rsid w:val="00B024F4"/>
    <w:rsid w:val="00C351E0"/>
    <w:rsid w:val="00C8585A"/>
    <w:rsid w:val="00C85BD7"/>
    <w:rsid w:val="00CA0EA7"/>
    <w:rsid w:val="00CA78F6"/>
    <w:rsid w:val="00CC096F"/>
    <w:rsid w:val="00CD67D2"/>
    <w:rsid w:val="00CF4BD2"/>
    <w:rsid w:val="00D721CD"/>
    <w:rsid w:val="00E8348A"/>
    <w:rsid w:val="00FB2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ACA8B"/>
  <w15:chartTrackingRefBased/>
  <w15:docId w15:val="{B23EEAEA-B6F5-490C-9DB6-07BD279F2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3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3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3F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3F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3F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3F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F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F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F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F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3F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3F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3F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3F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3F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F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F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F19"/>
    <w:rPr>
      <w:rFonts w:eastAsiaTheme="majorEastAsia" w:cstheme="majorBidi"/>
      <w:color w:val="272727" w:themeColor="text1" w:themeTint="D8"/>
    </w:rPr>
  </w:style>
  <w:style w:type="paragraph" w:styleId="Title">
    <w:name w:val="Title"/>
    <w:basedOn w:val="Normal"/>
    <w:next w:val="Normal"/>
    <w:link w:val="TitleChar"/>
    <w:uiPriority w:val="10"/>
    <w:qFormat/>
    <w:rsid w:val="00383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F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F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F19"/>
    <w:pPr>
      <w:spacing w:before="160"/>
      <w:jc w:val="center"/>
    </w:pPr>
    <w:rPr>
      <w:i/>
      <w:iCs/>
      <w:color w:val="404040" w:themeColor="text1" w:themeTint="BF"/>
    </w:rPr>
  </w:style>
  <w:style w:type="character" w:customStyle="1" w:styleId="QuoteChar">
    <w:name w:val="Quote Char"/>
    <w:basedOn w:val="DefaultParagraphFont"/>
    <w:link w:val="Quote"/>
    <w:uiPriority w:val="29"/>
    <w:rsid w:val="00383F19"/>
    <w:rPr>
      <w:i/>
      <w:iCs/>
      <w:color w:val="404040" w:themeColor="text1" w:themeTint="BF"/>
    </w:rPr>
  </w:style>
  <w:style w:type="paragraph" w:styleId="ListParagraph">
    <w:name w:val="List Paragraph"/>
    <w:basedOn w:val="Normal"/>
    <w:uiPriority w:val="34"/>
    <w:qFormat/>
    <w:rsid w:val="00383F19"/>
    <w:pPr>
      <w:ind w:left="720"/>
      <w:contextualSpacing/>
    </w:pPr>
  </w:style>
  <w:style w:type="character" w:styleId="IntenseEmphasis">
    <w:name w:val="Intense Emphasis"/>
    <w:basedOn w:val="DefaultParagraphFont"/>
    <w:uiPriority w:val="21"/>
    <w:qFormat/>
    <w:rsid w:val="00383F19"/>
    <w:rPr>
      <w:i/>
      <w:iCs/>
      <w:color w:val="0F4761" w:themeColor="accent1" w:themeShade="BF"/>
    </w:rPr>
  </w:style>
  <w:style w:type="paragraph" w:styleId="IntenseQuote">
    <w:name w:val="Intense Quote"/>
    <w:basedOn w:val="Normal"/>
    <w:next w:val="Normal"/>
    <w:link w:val="IntenseQuoteChar"/>
    <w:uiPriority w:val="30"/>
    <w:qFormat/>
    <w:rsid w:val="00383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3F19"/>
    <w:rPr>
      <w:i/>
      <w:iCs/>
      <w:color w:val="0F4761" w:themeColor="accent1" w:themeShade="BF"/>
    </w:rPr>
  </w:style>
  <w:style w:type="character" w:styleId="IntenseReference">
    <w:name w:val="Intense Reference"/>
    <w:basedOn w:val="DefaultParagraphFont"/>
    <w:uiPriority w:val="32"/>
    <w:qFormat/>
    <w:rsid w:val="00383F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638870">
      <w:bodyDiv w:val="1"/>
      <w:marLeft w:val="0"/>
      <w:marRight w:val="0"/>
      <w:marTop w:val="0"/>
      <w:marBottom w:val="0"/>
      <w:divBdr>
        <w:top w:val="none" w:sz="0" w:space="0" w:color="auto"/>
        <w:left w:val="none" w:sz="0" w:space="0" w:color="auto"/>
        <w:bottom w:val="none" w:sz="0" w:space="0" w:color="auto"/>
        <w:right w:val="none" w:sz="0" w:space="0" w:color="auto"/>
      </w:divBdr>
    </w:div>
    <w:div w:id="813986819">
      <w:bodyDiv w:val="1"/>
      <w:marLeft w:val="0"/>
      <w:marRight w:val="0"/>
      <w:marTop w:val="0"/>
      <w:marBottom w:val="0"/>
      <w:divBdr>
        <w:top w:val="none" w:sz="0" w:space="0" w:color="auto"/>
        <w:left w:val="none" w:sz="0" w:space="0" w:color="auto"/>
        <w:bottom w:val="none" w:sz="0" w:space="0" w:color="auto"/>
        <w:right w:val="none" w:sz="0" w:space="0" w:color="auto"/>
      </w:divBdr>
    </w:div>
    <w:div w:id="968975760">
      <w:bodyDiv w:val="1"/>
      <w:marLeft w:val="0"/>
      <w:marRight w:val="0"/>
      <w:marTop w:val="0"/>
      <w:marBottom w:val="0"/>
      <w:divBdr>
        <w:top w:val="none" w:sz="0" w:space="0" w:color="auto"/>
        <w:left w:val="none" w:sz="0" w:space="0" w:color="auto"/>
        <w:bottom w:val="none" w:sz="0" w:space="0" w:color="auto"/>
        <w:right w:val="none" w:sz="0" w:space="0" w:color="auto"/>
      </w:divBdr>
      <w:divsChild>
        <w:div w:id="1650161740">
          <w:marLeft w:val="720"/>
          <w:marRight w:val="0"/>
          <w:marTop w:val="0"/>
          <w:marBottom w:val="0"/>
          <w:divBdr>
            <w:top w:val="none" w:sz="0" w:space="0" w:color="auto"/>
            <w:left w:val="none" w:sz="0" w:space="0" w:color="auto"/>
            <w:bottom w:val="none" w:sz="0" w:space="0" w:color="auto"/>
            <w:right w:val="none" w:sz="0" w:space="0" w:color="auto"/>
          </w:divBdr>
        </w:div>
        <w:div w:id="490678159">
          <w:marLeft w:val="720"/>
          <w:marRight w:val="0"/>
          <w:marTop w:val="0"/>
          <w:marBottom w:val="0"/>
          <w:divBdr>
            <w:top w:val="none" w:sz="0" w:space="0" w:color="auto"/>
            <w:left w:val="none" w:sz="0" w:space="0" w:color="auto"/>
            <w:bottom w:val="none" w:sz="0" w:space="0" w:color="auto"/>
            <w:right w:val="none" w:sz="0" w:space="0" w:color="auto"/>
          </w:divBdr>
        </w:div>
      </w:divsChild>
    </w:div>
    <w:div w:id="1522158394">
      <w:bodyDiv w:val="1"/>
      <w:marLeft w:val="0"/>
      <w:marRight w:val="0"/>
      <w:marTop w:val="0"/>
      <w:marBottom w:val="0"/>
      <w:divBdr>
        <w:top w:val="none" w:sz="0" w:space="0" w:color="auto"/>
        <w:left w:val="none" w:sz="0" w:space="0" w:color="auto"/>
        <w:bottom w:val="none" w:sz="0" w:space="0" w:color="auto"/>
        <w:right w:val="none" w:sz="0" w:space="0" w:color="auto"/>
      </w:divBdr>
    </w:div>
    <w:div w:id="168612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542E275B30A74B8F8FA600DB6ACC5F" ma:contentTypeVersion="20" ma:contentTypeDescription="Create a new document." ma:contentTypeScope="" ma:versionID="174f03ad4630c9bba67a1e4a8bf4fbaf">
  <xsd:schema xmlns:xsd="http://www.w3.org/2001/XMLSchema" xmlns:xs="http://www.w3.org/2001/XMLSchema" xmlns:p="http://schemas.microsoft.com/office/2006/metadata/properties" xmlns:ns2="70c2b688-b411-41a4-b2b0-c43b12e0f7d1" xmlns:ns3="cdaad1dd-3865-4b1a-9cf6-3aafba8842b0" targetNamespace="http://schemas.microsoft.com/office/2006/metadata/properties" ma:root="true" ma:fieldsID="458d591caa9fbd4a382130b50bd7cbbc" ns2:_="" ns3:_="">
    <xsd:import namespace="70c2b688-b411-41a4-b2b0-c43b12e0f7d1"/>
    <xsd:import namespace="cdaad1dd-3865-4b1a-9cf6-3aafba8842b0"/>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2b688-b411-41a4-b2b0-c43b12e0f7d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3ff3b9d1-4cb6-4d56-9a55-62edc636bdbf}" ma:internalName="TaxCatchAll" ma:showField="CatchAllData" ma:web="70c2b688-b411-41a4-b2b0-c43b12e0f7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aad1dd-3865-4b1a-9cf6-3aafba8842b0"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324e61f-bf26-45b1-89f3-c900cbfb4f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aad1dd-3865-4b1a-9cf6-3aafba8842b0">
      <Terms xmlns="http://schemas.microsoft.com/office/infopath/2007/PartnerControls"/>
    </lcf76f155ced4ddcb4097134ff3c332f>
    <TaxCatchAll xmlns="70c2b688-b411-41a4-b2b0-c43b12e0f7d1" xsi:nil="true"/>
  </documentManagement>
</p:properties>
</file>

<file path=customXml/itemProps1.xml><?xml version="1.0" encoding="utf-8"?>
<ds:datastoreItem xmlns:ds="http://schemas.openxmlformats.org/officeDocument/2006/customXml" ds:itemID="{1F8226A1-5B46-4285-9DE4-A6266720E716}"/>
</file>

<file path=customXml/itemProps2.xml><?xml version="1.0" encoding="utf-8"?>
<ds:datastoreItem xmlns:ds="http://schemas.openxmlformats.org/officeDocument/2006/customXml" ds:itemID="{763D866A-43C1-4C95-B9C6-5A1676DAB339}"/>
</file>

<file path=customXml/itemProps3.xml><?xml version="1.0" encoding="utf-8"?>
<ds:datastoreItem xmlns:ds="http://schemas.openxmlformats.org/officeDocument/2006/customXml" ds:itemID="{CE17F1E2-A1FB-4348-814C-67665C8D47C4}"/>
</file>

<file path=docProps/app.xml><?xml version="1.0" encoding="utf-8"?>
<Properties xmlns="http://schemas.openxmlformats.org/officeDocument/2006/extended-properties" xmlns:vt="http://schemas.openxmlformats.org/officeDocument/2006/docPropsVTypes">
  <Template>Normal</Template>
  <TotalTime>44</TotalTime>
  <Pages>2</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Swanson</dc:creator>
  <cp:keywords/>
  <dc:description/>
  <cp:lastModifiedBy>Robyn Swanson</cp:lastModifiedBy>
  <cp:revision>33</cp:revision>
  <dcterms:created xsi:type="dcterms:W3CDTF">2026-05-21T16:01:00Z</dcterms:created>
  <dcterms:modified xsi:type="dcterms:W3CDTF">2026-05-21T16:45:00Z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0x01010093542E275B30A74B8F8FA600DB6ACC5F</vt:lpwstr>
  </property>
</Properties>
</file>